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CD" w:rsidRDefault="00EC10CD">
      <w:pPr>
        <w:pStyle w:val="1466"/>
      </w:pPr>
      <w:bookmarkStart w:id="0" w:name="_GoBack"/>
      <w:bookmarkEnd w:id="0"/>
      <w:r>
        <w:t xml:space="preserve">Письмо Министерства регионального развития РФ </w:t>
      </w:r>
      <w:r>
        <w:br/>
        <w:t>от 29 марта 2011 г. № 7226-ИП/08</w:t>
      </w:r>
    </w:p>
    <w:p w:rsidR="00EC10CD" w:rsidRDefault="00EC10CD">
      <w:r>
        <w:t>Министерство регионального развития Российской Федерации рассмотрело обращение по вопросу осуществления строительного контроля и сообщает следующее.</w:t>
      </w:r>
    </w:p>
    <w:p w:rsidR="00EC10CD" w:rsidRDefault="00EC10CD">
      <w:r>
        <w:t xml:space="preserve">В соответствии с частью 2 статьи 53 </w:t>
      </w:r>
      <w:hyperlink r:id="rId7" w:tooltip="Градостроительный кодекс Российской Федерации" w:history="1">
        <w:r>
          <w:rPr>
            <w:rStyle w:val="a3"/>
          </w:rPr>
          <w:t>Градостроительного кодекса Российской Федерации</w:t>
        </w:r>
      </w:hyperlink>
      <w:r>
        <w:t xml:space="preserve">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производится также застройщиком или заказчиком. При этом если строительный контроль осуществляется застройщиком или заказчиком самостоятельно, без привлечения на основании договора физических или юридических лиц, то получение заказчиком или застройщиком свидетельства о допуске к работам по осуществлению строительного контроля не требуется. В случае привлечения застройщиком или заказчиком физических или юридических лиц к работам по осуществлению строительного контроля, свидетельство о допуске к указанным работам должны иметь привлекаемые лица. Вместе с тем, следует иметь ввиду, что согласно части 3.1 статьи 52 </w:t>
      </w:r>
      <w:hyperlink r:id="rId8" w:tooltip="Градостроительный кодекс Российской Федерации" w:history="1">
        <w:r>
          <w:rPr>
            <w:rStyle w:val="a3"/>
          </w:rPr>
          <w:t>Градостроительного кодекса Российской Федерации</w:t>
        </w:r>
      </w:hyperlink>
      <w:r>
        <w:t xml:space="preserve"> лицо, осуществляющее строительство, должно иметь свидетельство о допуске к работам по организации строительства.</w:t>
      </w:r>
    </w:p>
    <w:p w:rsidR="00EC10CD" w:rsidRDefault="00EC10CD">
      <w:r>
        <w:t xml:space="preserve">Одновременно сообщаем, что порядок проведения строительного контроля при осуществлении строительства, реконструкции и капитального ремонта объектов капитального строительства, а также требования к лицам, его осуществляющим, регламентируется постановлением Правительства Российской Федерации от 21 июня 2010 г. № </w:t>
      </w:r>
      <w:hyperlink r:id="rId9" w:tooltip="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w:history="1">
        <w:r>
          <w:rPr>
            <w:rStyle w:val="a3"/>
          </w:rPr>
          <w:t>468</w:t>
        </w:r>
      </w:hyperlink>
      <w:r>
        <w:t xml:space="preserve">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C10CD" w:rsidRDefault="00EC10CD">
      <w:r>
        <w:t> </w:t>
      </w:r>
    </w:p>
    <w:tbl>
      <w:tblPr>
        <w:tblW w:w="0" w:type="auto"/>
        <w:tblCellMar>
          <w:left w:w="0" w:type="dxa"/>
          <w:right w:w="0" w:type="dxa"/>
        </w:tblCellMar>
        <w:tblLook w:val="04A0" w:firstRow="1" w:lastRow="0" w:firstColumn="1" w:lastColumn="0" w:noHBand="0" w:noVBand="1"/>
      </w:tblPr>
      <w:tblGrid>
        <w:gridCol w:w="6946"/>
        <w:gridCol w:w="2341"/>
      </w:tblGrid>
      <w:tr w:rsidR="00EC10CD">
        <w:tc>
          <w:tcPr>
            <w:tcW w:w="6946" w:type="dxa"/>
            <w:tcMar>
              <w:top w:w="0" w:type="dxa"/>
              <w:left w:w="108" w:type="dxa"/>
              <w:bottom w:w="0" w:type="dxa"/>
              <w:right w:w="108" w:type="dxa"/>
            </w:tcMar>
            <w:hideMark/>
          </w:tcPr>
          <w:p w:rsidR="00EC10CD" w:rsidRDefault="00EC10CD">
            <w:pPr>
              <w:autoSpaceDE w:val="0"/>
              <w:autoSpaceDN w:val="0"/>
              <w:rPr>
                <w:rFonts w:eastAsiaTheme="minorEastAsia"/>
                <w:color w:val="000000"/>
                <w:sz w:val="24"/>
                <w:szCs w:val="24"/>
              </w:rPr>
            </w:pPr>
            <w:r>
              <w:t xml:space="preserve">Директор Департамента архитектуры, строительства </w:t>
            </w:r>
            <w:r>
              <w:br/>
              <w:t>и градостроительной политики</w:t>
            </w:r>
          </w:p>
        </w:tc>
        <w:tc>
          <w:tcPr>
            <w:tcW w:w="2341" w:type="dxa"/>
            <w:tcMar>
              <w:top w:w="0" w:type="dxa"/>
              <w:left w:w="108" w:type="dxa"/>
              <w:bottom w:w="0" w:type="dxa"/>
              <w:right w:w="108" w:type="dxa"/>
            </w:tcMar>
            <w:vAlign w:val="bottom"/>
            <w:hideMark/>
          </w:tcPr>
          <w:p w:rsidR="00EC10CD" w:rsidRDefault="00EC10CD">
            <w:pPr>
              <w:autoSpaceDE w:val="0"/>
              <w:autoSpaceDN w:val="0"/>
              <w:jc w:val="right"/>
              <w:rPr>
                <w:rFonts w:eastAsiaTheme="minorEastAsia"/>
                <w:color w:val="000000"/>
                <w:sz w:val="24"/>
                <w:szCs w:val="24"/>
              </w:rPr>
            </w:pPr>
            <w:r>
              <w:t>И.В. Пономарев</w:t>
            </w:r>
          </w:p>
        </w:tc>
      </w:tr>
    </w:tbl>
    <w:p w:rsidR="00EC10CD" w:rsidRDefault="00EC10CD">
      <w:pPr>
        <w:rPr>
          <w:rFonts w:eastAsiaTheme="minorEastAsia"/>
          <w:color w:val="000000"/>
        </w:rPr>
      </w:pPr>
      <w:r>
        <w:t> </w:t>
      </w:r>
    </w:p>
    <w:p w:rsidR="00EC10CD" w:rsidRDefault="00EC10CD">
      <w:r>
        <w:t> </w:t>
      </w:r>
    </w:p>
    <w:p w:rsidR="00EC10CD" w:rsidRDefault="00EC10CD" w:rsidP="00EC10CD">
      <w:pPr>
        <w:rPr>
          <w:vanish/>
          <w:color w:val="FFFFFF"/>
          <w:sz w:val="2"/>
        </w:rPr>
      </w:pPr>
      <w:r>
        <w:rPr>
          <w:vanish/>
          <w:color w:val="FFFFFF"/>
          <w:sz w:val="2"/>
        </w:rPr>
        <w:t>0226S10-11535</w:t>
      </w:r>
    </w:p>
    <w:p w:rsidR="00EC10CD" w:rsidRDefault="00EC10CD" w:rsidP="00EC10CD">
      <w:pPr>
        <w:rPr>
          <w:color w:val="000000"/>
          <w:sz w:val="28"/>
        </w:rPr>
      </w:pPr>
    </w:p>
    <w:p w:rsidR="007455CB" w:rsidRPr="00EC10CD" w:rsidRDefault="007455CB" w:rsidP="00EC10CD">
      <w:pPr>
        <w:rPr>
          <w:color w:val="000000"/>
          <w:sz w:val="28"/>
        </w:rPr>
      </w:pPr>
    </w:p>
    <w:sectPr w:rsidR="007455CB" w:rsidRPr="00EC10CD" w:rsidSect="00A34C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23" w:rsidRDefault="00E04D23" w:rsidP="00EC10CD">
      <w:pPr>
        <w:spacing w:after="0" w:line="240" w:lineRule="auto"/>
      </w:pPr>
      <w:r>
        <w:separator/>
      </w:r>
    </w:p>
  </w:endnote>
  <w:endnote w:type="continuationSeparator" w:id="0">
    <w:p w:rsidR="00E04D23" w:rsidRDefault="00E04D23" w:rsidP="00EC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D" w:rsidRDefault="00EC10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D" w:rsidRPr="00EC10CD" w:rsidRDefault="00EC10CD">
    <w:pPr>
      <w:pStyle w:val="a6"/>
      <w:rPr>
        <w:sz w:val="16"/>
        <w:lang w:val="en-US"/>
      </w:rPr>
    </w:pPr>
    <w:r w:rsidRPr="00EC10CD">
      <w:rPr>
        <w:sz w:val="16"/>
        <w:lang w:val="en-US"/>
      </w:rPr>
      <w:t xml:space="preserve">NormaCS®  (NRMS10-11535) </w:t>
    </w:r>
    <w:r w:rsidRPr="00EC10CD">
      <w:rPr>
        <w:sz w:val="16"/>
        <w:lang w:val="en-US"/>
      </w:rPr>
      <w:tab/>
      <w:t xml:space="preserve"> www.normacs.ru </w:t>
    </w:r>
    <w:r w:rsidRPr="00EC10CD">
      <w:rPr>
        <w:sz w:val="16"/>
        <w:lang w:val="en-US"/>
      </w:rPr>
      <w:tab/>
      <w:t xml:space="preserve"> 24.02.2016 12:15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D" w:rsidRDefault="00EC10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23" w:rsidRDefault="00E04D23" w:rsidP="00EC10CD">
      <w:pPr>
        <w:spacing w:after="0" w:line="240" w:lineRule="auto"/>
      </w:pPr>
      <w:r>
        <w:separator/>
      </w:r>
    </w:p>
  </w:footnote>
  <w:footnote w:type="continuationSeparator" w:id="0">
    <w:p w:rsidR="00E04D23" w:rsidRDefault="00E04D23" w:rsidP="00EC1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D" w:rsidRDefault="00EC10CD" w:rsidP="002C5324">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C10CD" w:rsidRDefault="00EC10CD" w:rsidP="00EC10C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D" w:rsidRPr="00EC10CD" w:rsidRDefault="00EC10CD" w:rsidP="002C5324">
    <w:pPr>
      <w:pStyle w:val="a4"/>
      <w:framePr w:wrap="around" w:vAnchor="text" w:hAnchor="margin" w:xAlign="right" w:y="1"/>
      <w:rPr>
        <w:rStyle w:val="a8"/>
        <w:sz w:val="16"/>
      </w:rPr>
    </w:pPr>
    <w:r>
      <w:rPr>
        <w:rStyle w:val="a8"/>
        <w:sz w:val="16"/>
      </w:rPr>
      <w:t xml:space="preserve">Письмо 7226-ИП/08 Об осуществлении строительного контроля </w:t>
    </w:r>
    <w:r>
      <w:rPr>
        <w:rStyle w:val="a8"/>
        <w:sz w:val="16"/>
      </w:rPr>
      <w:tab/>
      <w:t xml:space="preserve"> </w:t>
    </w:r>
    <w:r>
      <w:rPr>
        <w:rStyle w:val="a8"/>
        <w:sz w:val="16"/>
      </w:rPr>
      <w:tab/>
      <w:t xml:space="preserve"> </w:t>
    </w:r>
    <w:r w:rsidRPr="00EC10CD">
      <w:rPr>
        <w:rStyle w:val="a8"/>
        <w:sz w:val="16"/>
      </w:rPr>
      <w:fldChar w:fldCharType="begin"/>
    </w:r>
    <w:r w:rsidRPr="00EC10CD">
      <w:rPr>
        <w:rStyle w:val="a8"/>
        <w:sz w:val="16"/>
      </w:rPr>
      <w:instrText xml:space="preserve">PAGE  </w:instrText>
    </w:r>
    <w:r w:rsidRPr="00EC10CD">
      <w:rPr>
        <w:rStyle w:val="a8"/>
        <w:sz w:val="16"/>
      </w:rPr>
      <w:fldChar w:fldCharType="separate"/>
    </w:r>
    <w:r w:rsidR="00E04D23">
      <w:rPr>
        <w:rStyle w:val="a8"/>
        <w:noProof/>
        <w:sz w:val="16"/>
      </w:rPr>
      <w:t>1</w:t>
    </w:r>
    <w:r w:rsidRPr="00EC10CD">
      <w:rPr>
        <w:rStyle w:val="a8"/>
        <w:sz w:val="16"/>
      </w:rPr>
      <w:fldChar w:fldCharType="end"/>
    </w:r>
  </w:p>
  <w:p w:rsidR="00EC10CD" w:rsidRPr="00EC10CD" w:rsidRDefault="00EC10CD" w:rsidP="00EC10CD">
    <w:pPr>
      <w:pStyle w:val="a4"/>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CD" w:rsidRDefault="00EC10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revisionView w:markup="0" w:comments="0" w:insDel="0" w:formatting="0"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10K3U"/>
    <w:docVar w:name="NcsDomain" w:val="normacs.ru"/>
    <w:docVar w:name="NcsExportTime" w:val="2016-02-24 12:15:20"/>
    <w:docVar w:name="NcsSerial" w:val="NRMS10-11535"/>
    <w:docVar w:name="NcsUrl" w:val="normacs://normacs.ru/10K3U?dob=42339.000000&amp;dol=42424.510648"/>
  </w:docVars>
  <w:rsids>
    <w:rsidRoot w:val="00EC10CD"/>
    <w:rsid w:val="007455CB"/>
    <w:rsid w:val="00C14B37"/>
    <w:rsid w:val="00E04D23"/>
    <w:rsid w:val="00EC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10CD"/>
    <w:rPr>
      <w:color w:val="0000FF"/>
      <w:u w:val="single"/>
    </w:rPr>
  </w:style>
  <w:style w:type="paragraph" w:customStyle="1" w:styleId="1466">
    <w:name w:val="1466"/>
    <w:basedOn w:val="a"/>
    <w:rsid w:val="00EC10CD"/>
    <w:pPr>
      <w:autoSpaceDE w:val="0"/>
      <w:autoSpaceDN w:val="0"/>
      <w:spacing w:before="120" w:after="120" w:line="240" w:lineRule="auto"/>
      <w:jc w:val="center"/>
    </w:pPr>
    <w:rPr>
      <w:rFonts w:ascii="Times New Roman" w:eastAsiaTheme="minorEastAsia" w:hAnsi="Times New Roman" w:cs="Times New Roman"/>
      <w:b/>
      <w:bCs/>
      <w:color w:val="000000"/>
      <w:sz w:val="28"/>
      <w:szCs w:val="28"/>
      <w:lang w:eastAsia="ru-RU"/>
    </w:rPr>
  </w:style>
  <w:style w:type="paragraph" w:styleId="a4">
    <w:name w:val="header"/>
    <w:basedOn w:val="a"/>
    <w:link w:val="a5"/>
    <w:uiPriority w:val="99"/>
    <w:unhideWhenUsed/>
    <w:rsid w:val="00EC10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0CD"/>
  </w:style>
  <w:style w:type="paragraph" w:styleId="a6">
    <w:name w:val="footer"/>
    <w:basedOn w:val="a"/>
    <w:link w:val="a7"/>
    <w:uiPriority w:val="99"/>
    <w:unhideWhenUsed/>
    <w:rsid w:val="00EC10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0CD"/>
  </w:style>
  <w:style w:type="character" w:styleId="a8">
    <w:name w:val="page number"/>
    <w:basedOn w:val="a0"/>
    <w:uiPriority w:val="99"/>
    <w:semiHidden/>
    <w:unhideWhenUsed/>
    <w:rsid w:val="00EC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10CD"/>
    <w:rPr>
      <w:color w:val="0000FF"/>
      <w:u w:val="single"/>
    </w:rPr>
  </w:style>
  <w:style w:type="paragraph" w:customStyle="1" w:styleId="1466">
    <w:name w:val="1466"/>
    <w:basedOn w:val="a"/>
    <w:rsid w:val="00EC10CD"/>
    <w:pPr>
      <w:autoSpaceDE w:val="0"/>
      <w:autoSpaceDN w:val="0"/>
      <w:spacing w:before="120" w:after="120" w:line="240" w:lineRule="auto"/>
      <w:jc w:val="center"/>
    </w:pPr>
    <w:rPr>
      <w:rFonts w:ascii="Times New Roman" w:eastAsiaTheme="minorEastAsia" w:hAnsi="Times New Roman" w:cs="Times New Roman"/>
      <w:b/>
      <w:bCs/>
      <w:color w:val="000000"/>
      <w:sz w:val="28"/>
      <w:szCs w:val="28"/>
      <w:lang w:eastAsia="ru-RU"/>
    </w:rPr>
  </w:style>
  <w:style w:type="paragraph" w:styleId="a4">
    <w:name w:val="header"/>
    <w:basedOn w:val="a"/>
    <w:link w:val="a5"/>
    <w:uiPriority w:val="99"/>
    <w:unhideWhenUsed/>
    <w:rsid w:val="00EC10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0CD"/>
  </w:style>
  <w:style w:type="paragraph" w:styleId="a6">
    <w:name w:val="footer"/>
    <w:basedOn w:val="a"/>
    <w:link w:val="a7"/>
    <w:uiPriority w:val="99"/>
    <w:unhideWhenUsed/>
    <w:rsid w:val="00EC10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0CD"/>
  </w:style>
  <w:style w:type="character" w:styleId="a8">
    <w:name w:val="page number"/>
    <w:basedOn w:val="a0"/>
    <w:uiPriority w:val="99"/>
    <w:semiHidden/>
    <w:unhideWhenUsed/>
    <w:rsid w:val="00EC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rmacs://normacs.ru/UHIC?dob=42339.000000&amp;dol=42424.51064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normacs://normacs.ru/UHIC?dob=42339.000000&amp;dol=42424.510648"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normacs://normacs.ru/VICU?dob=42339.000000&amp;dol=42424.510648"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Письмо 7226-ИП/08 Об осуществлении строительного контроля</vt:lpstr>
    </vt:vector>
  </TitlesOfParts>
  <Company>Microsoft Corporation</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7226-ИП/08 Об осуществлении строительного контроля</dc:title>
  <dc:creator>Филин Сергей Александрович</dc:creator>
  <cp:lastModifiedBy>Филин Сергей Александрович</cp:lastModifiedBy>
  <cp:revision>1</cp:revision>
  <dcterms:created xsi:type="dcterms:W3CDTF">2016-02-24T09:15:00Z</dcterms:created>
  <dcterms:modified xsi:type="dcterms:W3CDTF">2016-02-24T09:15:00Z</dcterms:modified>
</cp:coreProperties>
</file>